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228</w:t>
      </w:r>
    </w:p>
    <w:p>
      <w:r>
        <w:t>Bundesgericht (BGE), 1992-08-21, FR</w:t>
      </w:r>
    </w:p>
    <w:p>
      <w:r>
        <w:rPr>
          <w:b/>
        </w:rPr>
        <w:t xml:space="preserve">Quelle: </w:t>
      </w:r>
      <w:r>
        <w:t>https://mcp.opencaselaw.ch/entscheid/bge_118 II 228</w:t>
      </w:r>
    </w:p>
    <w:p>
      <w:r>
        <w:t>FR: ATF 118 II 228</w:t>
      </w:r>
    </w:p>
    <w:p>
      <w:r>
        <w:t>IT: DTF 118 II 228</w:t>
      </w:r>
    </w:p>
    <w:p>
      <w:pPr>
        <w:pStyle w:val="Heading2"/>
      </w:pPr>
      <w:r>
        <w:t>Regeste</w:t>
      </w:r>
    </w:p>
    <w:p>
      <w:r>
        <w:t>Regeste Abänderung eines Scheidungsurteils; vorsorgliche Massnahmen; Aufhebung einer Unterhaltsrente. Im Rahmen einer Klage auf Abänderung eines Scheidungsurteils ist die Herabsetzung - und umsomehr die Aufhebung - einer Rente gestützt auf Art. 151 Abs. 1 ZGB aufgrund vorsorglicher Massnahmen nur in dringenden Fällen und unter speziellen Umständen gerechtfertigt (Zusammenfassung von Rechtsprechung und Lehre).</w:t>
      </w:r>
    </w:p>
    <w:p>
      <w:pPr>
        <w:pStyle w:val="Heading2"/>
      </w:pPr>
      <w:r>
        <w:t>Erwägungen</w:t>
      </w:r>
    </w:p>
    <w:p>
      <w:r>
        <w:rPr>
          <w:b/>
        </w:rPr>
        <w:t>E. 3</w:t>
      </w:r>
    </w:p>
    <w:p>
      <w:r>
        <w:t>b) Le Tribunal fédéral et la doctrine admettent que l' art. 145 CC peut s'appliquer par analogie dans une procédure fondée sur l' art. 153 CC tendant à la modification d'une pension accordée selon l' art. 151 al. 1 CC . Selon la jurisprudence fédérale, dans le cadre d'une action en modification de jugement de divorce, la diminution - a fortiori la suppression - d'une rente fondée sur l' art. 151 al. 1 CC n'est justifiée au titre de mesures provisoires qu'en cas d'urgence et en présence de circonstances particulières (arrêt du Tribunal fédéral du 17 octobre 1985 dans la cause S. c/S., SJ 1986, p. 160, et l'arrêt cité ATF 89 II 15 /16). La doctrine souligne avec raison que le jugement de divorce entré en force produit ses effets et est exécutoire aussi longtemps que le jugement sur la modification n'est pas devenu lui-même définitif; dans ces conditions, seules des circonstances spéciales peuvent BGE 118 II 228 S. 229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(BÜHLER/SPÜHLER, Berner Kommentar, ad art. 151, nos 91-92, p. 497-498; Ergänzungsband, 1991, ad art. 153, nos 91-92, p. 198; dans le même sens, I Camera Civile du canton du Tessin, Rep. 1989, p. 131; Obergericht du canton de Zurich, I. Zivilkammer, ZR 1990, No 72, p. 160). Comme l'a pertinemment précisé l'Obergericht du canton de Zurich, on peut exiger du demandeur à une action en modification de jugement de divorce qu'il attende l'issue du procès et, jusque-là, s'acquitte des prestations mises à sa charge par une décision exécutoire: les droits accordés par cette décision à la partie adverse doivent être protégés et prévaloir sur les siens (ZR 1978, No 91 consid. III, p. 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